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193E" w14:textId="75EE6B62" w:rsidR="00C7773E" w:rsidRPr="00510F7A" w:rsidRDefault="00155341" w:rsidP="00155341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</w:t>
      </w:r>
      <w:r w:rsidR="00C7773E" w:rsidRPr="00510F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për rezultatet e konsultimeve publike</w:t>
      </w:r>
    </w:p>
    <w:p w14:paraId="03D83146" w14:textId="77777777" w:rsidR="00C7773E" w:rsidRPr="00510F7A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7E7046D" w14:textId="77777777" w:rsidR="00C7773E" w:rsidRPr="00510F7A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4A193B4" w14:textId="0353DBED" w:rsidR="00C7773E" w:rsidRPr="00510F7A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Titulli i draft</w:t>
      </w:r>
      <w:r w:rsidR="00C7773E" w:rsidRPr="00510F7A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64603F98" w14:textId="77777777" w:rsidR="000E4FCF" w:rsidRPr="000E4FCF" w:rsidRDefault="0013617C" w:rsidP="000E4FCF">
      <w:pPr>
        <w:ind w:left="360"/>
        <w:rPr>
          <w:rFonts w:ascii="Times New Roman" w:hAnsi="Times New Roman"/>
          <w:sz w:val="24"/>
          <w:szCs w:val="24"/>
          <w:lang w:val="sq-AL"/>
        </w:rPr>
      </w:pPr>
      <w:r w:rsidRPr="0013617C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0E4FCF" w:rsidRPr="000E4FCF">
        <w:rPr>
          <w:rFonts w:ascii="Times New Roman" w:hAnsi="Times New Roman"/>
          <w:sz w:val="24"/>
          <w:szCs w:val="24"/>
          <w:lang w:val="sq-AL"/>
        </w:rPr>
        <w:t>“</w:t>
      </w:r>
      <w:r w:rsidR="000E4FCF" w:rsidRPr="000E4FCF">
        <w:rPr>
          <w:rFonts w:ascii="Times New Roman" w:hAnsi="Times New Roman"/>
          <w:b/>
          <w:sz w:val="24"/>
          <w:szCs w:val="24"/>
          <w:lang w:val="sq-AL"/>
        </w:rPr>
        <w:t>Për hedhjen në treg dhe mbikëqyrjen e lëndëve plasëse për përdorim civil</w:t>
      </w:r>
      <w:r w:rsidR="000E4FCF" w:rsidRPr="000E4FCF">
        <w:rPr>
          <w:rFonts w:ascii="Times New Roman" w:hAnsi="Times New Roman"/>
          <w:sz w:val="24"/>
          <w:szCs w:val="24"/>
          <w:lang w:val="sq-AL"/>
        </w:rPr>
        <w:t>”.</w:t>
      </w:r>
    </w:p>
    <w:p w14:paraId="7C059BFD" w14:textId="77777777" w:rsidR="0013617C" w:rsidRPr="0013617C" w:rsidRDefault="0013617C" w:rsidP="000E4FC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5AC2C85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34B2C7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B96111" w14:textId="77777777" w:rsidR="00221040" w:rsidRPr="00510F7A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FCA4575" w14:textId="6CBA5B92" w:rsidR="00C93487" w:rsidRDefault="00221040" w:rsidP="000E4FCF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510F7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26.7.2019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>, me d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iCs/>
          <w:sz w:val="24"/>
          <w:szCs w:val="24"/>
          <w:lang w:val="sq-AL"/>
        </w:rPr>
        <w:t xml:space="preserve">rgimin e draftit fillestar 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n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rrug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elektronike disa operator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ve ekonomik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q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operojn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fush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n e l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nd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ve plas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se. N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p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rmjet </w:t>
      </w:r>
      <w:proofErr w:type="spellStart"/>
      <w:r w:rsidR="00C93487">
        <w:rPr>
          <w:rFonts w:ascii="Times New Roman" w:hAnsi="Times New Roman"/>
          <w:iCs/>
          <w:sz w:val="24"/>
          <w:szCs w:val="24"/>
          <w:lang w:val="sq-AL"/>
        </w:rPr>
        <w:t>emailit</w:t>
      </w:r>
      <w:proofErr w:type="spellEnd"/>
      <w:r w:rsidR="00C93487">
        <w:rPr>
          <w:rFonts w:ascii="Times New Roman" w:hAnsi="Times New Roman"/>
          <w:iCs/>
          <w:sz w:val="24"/>
          <w:szCs w:val="24"/>
          <w:lang w:val="sq-AL"/>
        </w:rPr>
        <w:t>, operator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ve iu la nj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afat p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r d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>rgimin e komenteve dhe gjithashtu u njoftuan se do t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zhvillonim nj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takim ku mund t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diskutonim rreth sugjerimeve q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C93487">
        <w:rPr>
          <w:rFonts w:ascii="Times New Roman" w:hAnsi="Times New Roman"/>
          <w:iCs/>
          <w:sz w:val="24"/>
          <w:szCs w:val="24"/>
          <w:lang w:val="sq-AL"/>
        </w:rPr>
        <w:t xml:space="preserve"> ata kishin. 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>M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 xml:space="preserve"> tej, n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>p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>rmjet nj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proofErr w:type="spellStart"/>
      <w:r w:rsidR="00233DAA">
        <w:rPr>
          <w:rFonts w:ascii="Times New Roman" w:hAnsi="Times New Roman"/>
          <w:iCs/>
          <w:sz w:val="24"/>
          <w:szCs w:val="24"/>
          <w:lang w:val="sq-AL"/>
        </w:rPr>
        <w:t>emaili</w:t>
      </w:r>
      <w:proofErr w:type="spellEnd"/>
      <w:r w:rsidR="00233DAA">
        <w:rPr>
          <w:rFonts w:ascii="Times New Roman" w:hAnsi="Times New Roman"/>
          <w:iCs/>
          <w:sz w:val="24"/>
          <w:szCs w:val="24"/>
          <w:lang w:val="sq-AL"/>
        </w:rPr>
        <w:t xml:space="preserve"> t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 xml:space="preserve"> dyt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>, m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 xml:space="preserve"> 6.9.2019, operator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>t ekonomik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33DAA">
        <w:rPr>
          <w:rFonts w:ascii="Times New Roman" w:hAnsi="Times New Roman"/>
          <w:iCs/>
          <w:sz w:val="24"/>
          <w:szCs w:val="24"/>
          <w:lang w:val="sq-AL"/>
        </w:rPr>
        <w:t xml:space="preserve"> u njoftuan </w:t>
      </w:r>
      <w:r w:rsidR="006E645B">
        <w:rPr>
          <w:rFonts w:ascii="Times New Roman" w:hAnsi="Times New Roman"/>
          <w:iCs/>
          <w:sz w:val="24"/>
          <w:szCs w:val="24"/>
          <w:lang w:val="sq-AL"/>
        </w:rPr>
        <w:t>mbi datën e zhvillimit të takimit (10.9.2019), në ambientet e Ministrisë së Mbrojtjes.</w:t>
      </w:r>
    </w:p>
    <w:p w14:paraId="0AA64268" w14:textId="3240A4A7" w:rsidR="006E645B" w:rsidRDefault="006E645B" w:rsidP="000E4FCF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Gjatë zhvillimit të takimit u diskutuan një serë çështjen në lidhje me lëndët plasëse, të cilat u mbajtën shënim nga përfaqësuesit e Ministrisë së Mbrojtjes, pjesëmarrës në takim.</w:t>
      </w:r>
    </w:p>
    <w:p w14:paraId="1AD4257E" w14:textId="00936171" w:rsidR="00221040" w:rsidRPr="00510F7A" w:rsidRDefault="006E645B" w:rsidP="000E4FCF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Pasi drafti u ripunua dhe u përgatit dokumentacioni shoqërues, u vijua me 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>publikimin e draftit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RENJK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>dhe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 faq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>en zyrtare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 s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Mbrojtjes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sq-AL"/>
        </w:rPr>
        <w:t>më 25.8.2020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Konsultimi publik 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mbyllur m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4F369C" w:rsidRPr="00510F7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q-AL"/>
        </w:rPr>
        <w:t>28.9</w:t>
      </w:r>
      <w:r w:rsidR="004F369C" w:rsidRPr="00510F7A">
        <w:rPr>
          <w:rFonts w:ascii="Times New Roman" w:hAnsi="Times New Roman"/>
          <w:iCs/>
          <w:sz w:val="24"/>
          <w:szCs w:val="24"/>
          <w:lang w:val="sq-AL"/>
        </w:rPr>
        <w:t>.2020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>, 30 dit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pas publikimit t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draftit n</w:t>
      </w:r>
      <w:r w:rsidR="005B160F" w:rsidRPr="00510F7A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F30DC">
        <w:rPr>
          <w:rFonts w:ascii="Times New Roman" w:hAnsi="Times New Roman"/>
          <w:iCs/>
          <w:sz w:val="24"/>
          <w:szCs w:val="24"/>
          <w:lang w:val="sq-AL"/>
        </w:rPr>
        <w:t>faqen zyrtare të Ministrisë së Mbrojtjes</w:t>
      </w:r>
      <w:r w:rsidR="00221040" w:rsidRPr="00510F7A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45BB2235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71C21A6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43A157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1C64BBF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1EDBBCF0" w14:textId="77777777" w:rsidR="00221040" w:rsidRPr="00510F7A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D08493" w14:textId="7B8B43F1" w:rsidR="00AD49F8" w:rsidRPr="006E645B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sq-AL"/>
        </w:rPr>
      </w:pPr>
      <w:r w:rsidRPr="00315A5E">
        <w:rPr>
          <w:rFonts w:ascii="Times New Roman" w:hAnsi="Times New Roman"/>
          <w:b/>
          <w:bCs/>
          <w:sz w:val="24"/>
          <w:szCs w:val="24"/>
          <w:lang w:val="sq-AL"/>
        </w:rPr>
        <w:t>Drejtpërdrejtë, gjatë zhvillimit të takimeve:</w:t>
      </w:r>
    </w:p>
    <w:p w14:paraId="7D3C4497" w14:textId="2578D71E" w:rsidR="006E645B" w:rsidRPr="006E645B" w:rsidRDefault="006E645B" w:rsidP="006E645B">
      <w:pPr>
        <w:pStyle w:val="BodyText"/>
        <w:ind w:left="360"/>
        <w:jc w:val="both"/>
        <w:rPr>
          <w:rFonts w:ascii="Times New Roman" w:hAnsi="Times New Roman"/>
          <w:bCs/>
          <w:i/>
          <w:sz w:val="24"/>
          <w:szCs w:val="24"/>
          <w:lang w:val="sq-AL"/>
        </w:rPr>
      </w:pPr>
      <w:r w:rsidRPr="006E645B">
        <w:rPr>
          <w:rFonts w:ascii="Times New Roman" w:hAnsi="Times New Roman"/>
          <w:bCs/>
          <w:sz w:val="24"/>
          <w:szCs w:val="24"/>
          <w:lang w:val="sq-AL"/>
        </w:rPr>
        <w:t>P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rfaq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sues t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Ministris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Mbrojtjes, s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bashku me Z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vend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sministrin e Mbrojtjes, n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cil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sin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e kryetarit t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Grupit Nd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rinstitucional t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Pun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s p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r p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rgatitjen e projektligjit zhvilluan takimin me operator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t ekonomik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q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operojn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n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fush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n e l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nd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ve plas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>se, m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10.9.2019, n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6E645B">
        <w:rPr>
          <w:rFonts w:ascii="Times New Roman" w:hAnsi="Times New Roman"/>
          <w:bCs/>
          <w:sz w:val="24"/>
          <w:szCs w:val="24"/>
          <w:lang w:val="sq-AL"/>
        </w:rPr>
        <w:t xml:space="preserve"> ambientet e Minis</w:t>
      </w:r>
      <w:r>
        <w:rPr>
          <w:rFonts w:ascii="Times New Roman" w:hAnsi="Times New Roman"/>
          <w:bCs/>
          <w:sz w:val="24"/>
          <w:szCs w:val="24"/>
          <w:lang w:val="sq-AL"/>
        </w:rPr>
        <w:t>tris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s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Mbrojtjes. </w:t>
      </w:r>
      <w:r w:rsidR="000E4FCF">
        <w:rPr>
          <w:rFonts w:ascii="Times New Roman" w:hAnsi="Times New Roman"/>
          <w:bCs/>
          <w:sz w:val="24"/>
          <w:szCs w:val="24"/>
          <w:lang w:val="sq-AL"/>
        </w:rPr>
        <w:t xml:space="preserve"> Operatorët ekonomikë u shprehën me sugjerime, një pjesë e të cilave u reflektuan në përmbajtjen e projektligjit. </w:t>
      </w:r>
    </w:p>
    <w:p w14:paraId="011EB796" w14:textId="1CC436E3" w:rsidR="00AD49F8" w:rsidRPr="00315A5E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15A5E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BA1E468" w14:textId="1BEF0810" w:rsidR="00AD49F8" w:rsidRPr="00510F7A" w:rsidRDefault="008F7BD8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510F7A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1275AEBE" w14:textId="3E274071" w:rsidR="00AD49F8" w:rsidRPr="00510F7A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 xml:space="preserve">Nëpërmjet adresës së emailit: </w:t>
      </w:r>
      <w:hyperlink r:id="rId9" w:history="1">
        <w:r w:rsidRPr="00510F7A">
          <w:rPr>
            <w:rStyle w:val="Hyperlink"/>
            <w:rFonts w:ascii="Times New Roman" w:hAnsi="Times New Roman"/>
            <w:sz w:val="24"/>
            <w:szCs w:val="24"/>
            <w:lang w:val="sq-AL"/>
          </w:rPr>
          <w:t>konsultim.publik@mod.gov.al</w:t>
        </w:r>
      </w:hyperlink>
      <w:r w:rsidR="002E4815" w:rsidRPr="00510F7A">
        <w:rPr>
          <w:rFonts w:ascii="Times New Roman" w:hAnsi="Times New Roman"/>
          <w:sz w:val="24"/>
          <w:szCs w:val="24"/>
          <w:lang w:val="sq-AL"/>
        </w:rPr>
        <w:t>:</w:t>
      </w:r>
    </w:p>
    <w:p w14:paraId="7838F87D" w14:textId="069362EE" w:rsidR="00AD49F8" w:rsidRPr="00510F7A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lastRenderedPageBreak/>
        <w:t>M</w:t>
      </w:r>
      <w:r w:rsidR="008F7BD8" w:rsidRPr="00510F7A">
        <w:rPr>
          <w:rFonts w:ascii="Times New Roman" w:hAnsi="Times New Roman"/>
          <w:sz w:val="24"/>
          <w:szCs w:val="24"/>
          <w:lang w:val="sq-AL"/>
        </w:rPr>
        <w:t>e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510F7A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510F7A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02DFFE7B" w14:textId="1B23CBFF" w:rsidR="002E4815" w:rsidRPr="00315A5E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15A5E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</w:t>
      </w:r>
      <w:r w:rsidR="002E4815" w:rsidRPr="00315A5E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2F548C52" w14:textId="0AC2AD51" w:rsidR="00C7773E" w:rsidRPr="00510F7A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510F7A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510F7A">
        <w:rPr>
          <w:rFonts w:ascii="Times New Roman" w:hAnsi="Times New Roman"/>
          <w:sz w:val="24"/>
          <w:szCs w:val="24"/>
          <w:lang w:val="sq-AL"/>
        </w:rPr>
        <w:t>ë</w:t>
      </w:r>
      <w:r w:rsidRPr="00510F7A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997E687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373B77D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1220A41" w14:textId="77777777" w:rsidR="00C7773E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1F86D6CB" w14:textId="77777777" w:rsidR="008F30DC" w:rsidRPr="00510F7A" w:rsidRDefault="008F30DC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9D99BFD" w14:textId="46885919" w:rsidR="00A70A48" w:rsidRDefault="008F30DC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Palët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>e interesuar</w:t>
      </w:r>
      <w:r w:rsidR="005F58AC">
        <w:rPr>
          <w:rFonts w:ascii="Times New Roman" w:hAnsi="Times New Roman"/>
          <w:iCs/>
          <w:sz w:val="24"/>
          <w:szCs w:val="24"/>
          <w:lang w:val="sq-AL"/>
        </w:rPr>
        <w:t xml:space="preserve">a,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të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cilat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morën pjesë në 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hartimin e 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këtij </w:t>
      </w:r>
      <w:proofErr w:type="spellStart"/>
      <w:r w:rsidR="00315A5E"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 w:rsidR="00315A5E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q-AL"/>
        </w:rPr>
        <w:t>janë</w:t>
      </w:r>
      <w:r w:rsidR="00315A5E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11F021C7" w14:textId="3891D464" w:rsidR="00C7773E" w:rsidRDefault="00A56BB2" w:rsidP="00A56BB2">
      <w:pPr>
        <w:pStyle w:val="ListParagraph"/>
        <w:numPr>
          <w:ilvl w:val="0"/>
          <w:numId w:val="2"/>
        </w:numPr>
        <w:tabs>
          <w:tab w:val="left" w:pos="7552"/>
        </w:tabs>
        <w:ind w:left="54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Ministrit</w:t>
      </w:r>
      <w:r w:rsidR="000E4FC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 linj</w:t>
      </w:r>
      <w:r w:rsidR="000E4FC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s, an</w:t>
      </w:r>
      <w:r w:rsidR="000E4FC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tare t</w:t>
      </w:r>
      <w:r w:rsidR="000E4FC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GNP: </w:t>
      </w:r>
      <w:r w:rsidRPr="00A56BB2">
        <w:rPr>
          <w:rFonts w:ascii="Times New Roman" w:hAnsi="Times New Roman"/>
          <w:sz w:val="24"/>
          <w:szCs w:val="24"/>
          <w:lang w:val="sq-AL"/>
        </w:rPr>
        <w:t>Ministria e Mbrojtjes, Ministria e Financave dhe Ekonomisë, Ministria e Brendshme, Ministria e Turizmit dhe Mjedisit, Ministria e Infrastrukturës dhe Energjisë</w:t>
      </w:r>
      <w:r w:rsidR="005F58AC">
        <w:rPr>
          <w:rFonts w:ascii="Times New Roman" w:hAnsi="Times New Roman"/>
          <w:sz w:val="24"/>
          <w:szCs w:val="24"/>
          <w:lang w:val="sq-AL"/>
        </w:rPr>
        <w:t>;</w:t>
      </w:r>
    </w:p>
    <w:p w14:paraId="07B095AE" w14:textId="6E0B3539" w:rsidR="005F58AC" w:rsidRPr="005F58AC" w:rsidRDefault="005F58AC" w:rsidP="005F58AC">
      <w:pPr>
        <w:pStyle w:val="BodyText"/>
        <w:numPr>
          <w:ilvl w:val="0"/>
          <w:numId w:val="2"/>
        </w:numPr>
        <w:ind w:left="54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Operator</w:t>
      </w:r>
      <w:r w:rsidR="000E4FC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 ekonomik</w:t>
      </w:r>
      <w:r w:rsidR="000E4FC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: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VAGEXCO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REDEN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DIANI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NITROBLAST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HERBI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DEFEX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EXPLOALB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; BABASI </w:t>
      </w:r>
      <w:r w:rsidRPr="00AC41F8">
        <w:rPr>
          <w:rFonts w:ascii="Times New Roman" w:hAnsi="Times New Roman"/>
          <w:sz w:val="24"/>
          <w:szCs w:val="24"/>
          <w:lang w:val="sq-AL"/>
        </w:rPr>
        <w:t xml:space="preserve">COO </w:t>
      </w:r>
      <w:proofErr w:type="spellStart"/>
      <w:r w:rsidRPr="00AC41F8">
        <w:rPr>
          <w:rFonts w:ascii="Times New Roman" w:hAnsi="Times New Roman"/>
          <w:sz w:val="24"/>
          <w:szCs w:val="24"/>
          <w:lang w:val="sq-AL"/>
        </w:rPr>
        <w:t>sh.p.k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444C91AE" w14:textId="77777777" w:rsidR="00C7773E" w:rsidRPr="00510F7A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87DA301" w14:textId="5122396D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510F7A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6E336FB" w14:textId="77777777" w:rsidR="00C7773E" w:rsidRPr="00510F7A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5C0F7F4" w14:textId="77777777" w:rsidR="00C7773E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10F7A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5B77357C" w14:textId="77777777" w:rsidR="00B70301" w:rsidRPr="00510F7A" w:rsidRDefault="00B70301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F50B07" w14:textId="5D053AB7" w:rsidR="00C7773E" w:rsidRPr="003A19ED" w:rsidRDefault="008F30DC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tabelën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e </w:t>
      </w:r>
      <w:r>
        <w:rPr>
          <w:rFonts w:ascii="Times New Roman" w:hAnsi="Times New Roman"/>
          <w:sz w:val="24"/>
          <w:szCs w:val="24"/>
          <w:lang w:val="sq-AL"/>
        </w:rPr>
        <w:t xml:space="preserve">mëposhtme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paraqiten komentet e pranuara </w:t>
      </w:r>
      <w:r>
        <w:rPr>
          <w:rFonts w:ascii="Times New Roman" w:hAnsi="Times New Roman"/>
          <w:sz w:val="24"/>
          <w:szCs w:val="24"/>
          <w:lang w:val="sq-AL"/>
        </w:rPr>
        <w:t xml:space="preserve">plotësisht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dhe </w:t>
      </w:r>
      <w:r>
        <w:rPr>
          <w:rFonts w:ascii="Times New Roman" w:hAnsi="Times New Roman"/>
          <w:sz w:val="24"/>
          <w:szCs w:val="24"/>
          <w:lang w:val="sq-AL"/>
        </w:rPr>
        <w:t xml:space="preserve">pjesërisht në </w:t>
      </w:r>
      <w:r w:rsidR="00315A5E">
        <w:rPr>
          <w:rFonts w:ascii="Times New Roman" w:hAnsi="Times New Roman"/>
          <w:sz w:val="24"/>
          <w:szCs w:val="24"/>
          <w:lang w:val="sq-AL"/>
        </w:rPr>
        <w:t xml:space="preserve">lidhje me </w:t>
      </w:r>
      <w:r>
        <w:rPr>
          <w:rFonts w:ascii="Times New Roman" w:hAnsi="Times New Roman"/>
          <w:sz w:val="24"/>
          <w:szCs w:val="24"/>
          <w:lang w:val="sq-AL"/>
        </w:rPr>
        <w:t xml:space="preserve">këtë </w:t>
      </w:r>
      <w:proofErr w:type="spellStart"/>
      <w:r w:rsidR="00315A5E">
        <w:rPr>
          <w:rFonts w:ascii="Times New Roman" w:hAnsi="Times New Roman"/>
          <w:sz w:val="24"/>
          <w:szCs w:val="24"/>
          <w:lang w:val="sq-AL"/>
        </w:rPr>
        <w:t>projektakt</w:t>
      </w:r>
      <w:proofErr w:type="spellEnd"/>
      <w:r w:rsidR="00315A5E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54"/>
        <w:gridCol w:w="1702"/>
        <w:gridCol w:w="1179"/>
        <w:gridCol w:w="3214"/>
      </w:tblGrid>
      <w:tr w:rsidR="00D678C7" w:rsidRPr="00CB5664" w14:paraId="6596004C" w14:textId="77777777" w:rsidTr="002D5D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Çështja e  adresuar</w:t>
            </w:r>
          </w:p>
          <w:p w14:paraId="07A7C61F" w14:textId="77777777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(psh. përkufizimi i ri i…, kushtet për regjistrimin e…, rregullimi i…, etj.)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Komenti</w:t>
            </w:r>
          </w:p>
          <w:p w14:paraId="1FE9D5C1" w14:textId="77777777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iCs/>
                <w:szCs w:val="22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Palët e interesuara </w:t>
            </w:r>
            <w:r w:rsidRPr="00CB5664">
              <w:rPr>
                <w:rFonts w:ascii="Times New Roman" w:hAnsi="Times New Roman"/>
                <w:iCs/>
                <w:szCs w:val="22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550D17B8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Vendimi (</w:t>
            </w:r>
            <w:r w:rsidR="00FA03E9" w:rsidRPr="00CB5664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pranuar/</w:t>
            </w:r>
            <w:r w:rsidR="00FA03E9" w:rsidRPr="00CB5664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pranuar pjesërisht/</w:t>
            </w:r>
            <w:r w:rsidR="00FA03E9" w:rsidRPr="00CB5664">
              <w:rPr>
                <w:rFonts w:ascii="Times New Roman" w:hAnsi="Times New Roman"/>
                <w:szCs w:val="22"/>
                <w:lang w:val="sq-AL"/>
              </w:rPr>
              <w:t>i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refuzuar)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CB5664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Justifikimi</w:t>
            </w:r>
          </w:p>
        </w:tc>
      </w:tr>
      <w:tr w:rsidR="009867FF" w:rsidRPr="00CB5664" w14:paraId="3629BEF2" w14:textId="77777777" w:rsidTr="002D5D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A28" w14:textId="6646FC45" w:rsidR="00D3328A" w:rsidRPr="00CB5664" w:rsidRDefault="00E84D44" w:rsidP="0031728D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Autorizimet e marra nga Policia e Shtetit p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r çdo transport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l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nd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ve plas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se shtojn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kosto financiare dhe shkaktojn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vonesa veprimtaris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tregtare.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937" w14:textId="333CC372" w:rsidR="00D3328A" w:rsidRPr="00CB5664" w:rsidRDefault="00E84D44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Mund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sia e pajisjes me leje p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r nj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periudh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caktuar kohe.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721" w14:textId="77777777" w:rsidR="00984BFB" w:rsidRDefault="00CB5664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VAGEXCO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</w:p>
          <w:p w14:paraId="2D171BF5" w14:textId="77777777" w:rsidR="00CB5664" w:rsidRDefault="00CB5664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NITROBLAST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</w:p>
          <w:p w14:paraId="4E02394D" w14:textId="6A98464A" w:rsidR="00CB5664" w:rsidRPr="00CB5664" w:rsidRDefault="00CB5664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DEFEX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7A6" w14:textId="392C2D13" w:rsidR="00D3328A" w:rsidRPr="00CB5664" w:rsidRDefault="00E84D44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I pranuar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733" w14:textId="722C1788" w:rsidR="0031728D" w:rsidRPr="00CB5664" w:rsidRDefault="00E84D44" w:rsidP="00FA03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eastAsia="Calibri" w:hAnsi="Times New Roman"/>
                <w:lang w:val="sq-AL"/>
              </w:rPr>
              <w:t xml:space="preserve">Në vlerësimin tonë, ky përcaktim shmang vonesat dhe kostot shtesë, të cilat operatorët ekonomikë i reflektojnë në çmimin final të produktit. Duke qenë edhe se marrja e kësaj leje rast pas rasti nuk sjell rritje të sigurisë në raport me marrjen e lejes për një afat të caktuar dhe për më tepër, nuk i pengon organet </w:t>
            </w:r>
            <w:proofErr w:type="spellStart"/>
            <w:r w:rsidRPr="00CB5664">
              <w:rPr>
                <w:rFonts w:ascii="Times New Roman" w:eastAsia="Calibri" w:hAnsi="Times New Roman"/>
                <w:lang w:val="sq-AL"/>
              </w:rPr>
              <w:t>ligjzbatuese</w:t>
            </w:r>
            <w:proofErr w:type="spellEnd"/>
            <w:r w:rsidRPr="00CB5664">
              <w:rPr>
                <w:rFonts w:ascii="Times New Roman" w:eastAsia="Calibri" w:hAnsi="Times New Roman"/>
                <w:lang w:val="sq-AL"/>
              </w:rPr>
              <w:t xml:space="preserve"> për të </w:t>
            </w:r>
            <w:r w:rsidRPr="00CB5664">
              <w:rPr>
                <w:rFonts w:ascii="Times New Roman" w:eastAsia="Calibri" w:hAnsi="Times New Roman"/>
                <w:lang w:val="sq-AL"/>
              </w:rPr>
              <w:lastRenderedPageBreak/>
              <w:t>realizuar kontrolle të herëpashershme, shprehemi dakord me sugjerimin e operator</w:t>
            </w:r>
            <w:r w:rsidR="000E4FCF" w:rsidRPr="00CB5664">
              <w:rPr>
                <w:rFonts w:ascii="Times New Roman" w:eastAsia="Calibri" w:hAnsi="Times New Roman"/>
                <w:lang w:val="sq-AL"/>
              </w:rPr>
              <w:t>ë</w:t>
            </w:r>
            <w:r w:rsidRPr="00CB5664">
              <w:rPr>
                <w:rFonts w:ascii="Times New Roman" w:eastAsia="Calibri" w:hAnsi="Times New Roman"/>
                <w:lang w:val="sq-AL"/>
              </w:rPr>
              <w:t>ve ekonomik</w:t>
            </w:r>
            <w:r w:rsidR="000E4FCF" w:rsidRPr="00CB5664">
              <w:rPr>
                <w:rFonts w:ascii="Times New Roman" w:eastAsia="Calibri" w:hAnsi="Times New Roman"/>
                <w:lang w:val="sq-AL"/>
              </w:rPr>
              <w:t>ë</w:t>
            </w:r>
            <w:r w:rsidRPr="00CB5664">
              <w:rPr>
                <w:rFonts w:ascii="Times New Roman" w:eastAsia="Calibri" w:hAnsi="Times New Roman"/>
                <w:lang w:val="sq-AL"/>
              </w:rPr>
              <w:t>.</w:t>
            </w:r>
          </w:p>
        </w:tc>
      </w:tr>
      <w:tr w:rsidR="00D678C7" w:rsidRPr="00CB5664" w14:paraId="6A77F9B0" w14:textId="77777777" w:rsidTr="002D5D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819" w14:textId="2BCD7813" w:rsidR="00FA03E9" w:rsidRPr="00CB5664" w:rsidRDefault="00E84D44" w:rsidP="001B6141">
            <w:pPr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lastRenderedPageBreak/>
              <w:t xml:space="preserve">Problematika me </w:t>
            </w:r>
            <w:proofErr w:type="spellStart"/>
            <w:r w:rsidRPr="00CB5664">
              <w:rPr>
                <w:rFonts w:ascii="Times New Roman" w:hAnsi="Times New Roman"/>
                <w:szCs w:val="22"/>
                <w:lang w:val="sq-AL"/>
              </w:rPr>
              <w:t>licensat</w:t>
            </w:r>
            <w:proofErr w:type="spellEnd"/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e import/eksportit. Subjektet p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r çdo kontrat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importi/eksporti do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duhej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aplikonin p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r </w:t>
            </w:r>
            <w:proofErr w:type="spellStart"/>
            <w:r w:rsidRPr="00CB5664">
              <w:rPr>
                <w:rFonts w:ascii="Times New Roman" w:hAnsi="Times New Roman"/>
                <w:szCs w:val="22"/>
                <w:lang w:val="sq-AL"/>
              </w:rPr>
              <w:t>licens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proofErr w:type="spellEnd"/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specifike. Ky p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rcaktim shkakton  burokraci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panevojshme dhe rrit kosto shtes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5CA" w14:textId="19BFF98A" w:rsidR="00D3328A" w:rsidRPr="00CB5664" w:rsidRDefault="00D3328A" w:rsidP="00A75AF4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CFC" w14:textId="77777777" w:rsidR="00C105A1" w:rsidRPr="005F58AC" w:rsidRDefault="00C105A1" w:rsidP="00C105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EXPLOALB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; BABASI </w:t>
            </w: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COO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0D928A8" w14:textId="77777777" w:rsidR="00C105A1" w:rsidRDefault="00C105A1" w:rsidP="00C105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VAGEXCO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</w:p>
          <w:p w14:paraId="75F976E4" w14:textId="77777777" w:rsidR="00C105A1" w:rsidRDefault="00C105A1" w:rsidP="00C105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NITROBLAST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</w:p>
          <w:p w14:paraId="267C8480" w14:textId="7E52FC10" w:rsidR="00D3328A" w:rsidRPr="00CB5664" w:rsidRDefault="00C105A1" w:rsidP="00C105A1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DEFEX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C3C" w14:textId="49C34187" w:rsidR="00D3328A" w:rsidRPr="00CB5664" w:rsidRDefault="00E84D44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I pranua</w:t>
            </w:r>
            <w:bookmarkStart w:id="0" w:name="_GoBack"/>
            <w:bookmarkEnd w:id="0"/>
            <w:r w:rsidRPr="00CB5664">
              <w:rPr>
                <w:rFonts w:ascii="Times New Roman" w:hAnsi="Times New Roman"/>
                <w:szCs w:val="22"/>
                <w:lang w:val="sq-AL"/>
              </w:rPr>
              <w:t>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66BB" w14:textId="7F5126F4" w:rsidR="00D3328A" w:rsidRPr="00CB5664" w:rsidRDefault="00E84D44" w:rsidP="001B6141">
            <w:pPr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Vler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>sojm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hAnsi="Times New Roman"/>
                <w:szCs w:val="22"/>
                <w:lang w:val="sq-AL"/>
              </w:rPr>
              <w:t xml:space="preserve"> se su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 xml:space="preserve">gjerimi tyre 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>sht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 xml:space="preserve"> i drejt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 xml:space="preserve"> p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>r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 xml:space="preserve"> njëjtat arsye t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 xml:space="preserve"> cituara m</w:t>
            </w:r>
            <w:r w:rsidR="000E4FCF" w:rsidRPr="00CB566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862525" w:rsidRPr="00CB5664">
              <w:rPr>
                <w:rFonts w:ascii="Times New Roman" w:hAnsi="Times New Roman"/>
                <w:szCs w:val="22"/>
                <w:lang w:val="sq-AL"/>
              </w:rPr>
              <w:t xml:space="preserve"> lart.</w:t>
            </w:r>
          </w:p>
        </w:tc>
      </w:tr>
      <w:tr w:rsidR="009867FF" w:rsidRPr="00CB5664" w14:paraId="6FA85BD9" w14:textId="77777777" w:rsidTr="002D5D0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9E6" w14:textId="54911568" w:rsidR="00FE326E" w:rsidRPr="00CB5664" w:rsidRDefault="00862525" w:rsidP="00C105A1">
            <w:pPr>
              <w:pStyle w:val="BodyText"/>
              <w:spacing w:after="0"/>
              <w:jc w:val="both"/>
              <w:rPr>
                <w:rFonts w:ascii="Times New Roman" w:eastAsia="MS Mincho" w:hAnsi="Times New Roman"/>
                <w:szCs w:val="22"/>
                <w:lang w:val="sq-AL"/>
              </w:rPr>
            </w:pP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Sa i p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rket etiketimeve n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gjuh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n shqipe. Operator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t nuk shpreheshin dakord me detyrimin p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r t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vendosur etiketim t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gjuh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s shqipe</w:t>
            </w:r>
            <w:r w:rsidR="00C105A1">
              <w:rPr>
                <w:rFonts w:ascii="Times New Roman" w:eastAsia="MS Mincho" w:hAnsi="Times New Roman"/>
                <w:szCs w:val="22"/>
                <w:lang w:val="sq-AL"/>
              </w:rPr>
              <w:t>, pasi importojnë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n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="00C105A1">
              <w:rPr>
                <w:rFonts w:ascii="Times New Roman" w:eastAsia="MS Mincho" w:hAnsi="Times New Roman"/>
                <w:szCs w:val="22"/>
                <w:lang w:val="sq-AL"/>
              </w:rPr>
              <w:t xml:space="preserve"> sasi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t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vogla </w:t>
            </w:r>
            <w:r w:rsidR="00C105A1">
              <w:rPr>
                <w:rFonts w:ascii="Times New Roman" w:eastAsia="MS Mincho" w:hAnsi="Times New Roman"/>
                <w:szCs w:val="22"/>
                <w:lang w:val="sq-AL"/>
              </w:rPr>
              <w:t>dhe prodhuesi nuk e merr përsipër vendosjen e tyre, përveçse me kosto shtesë.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C8B" w14:textId="09EE65B1" w:rsidR="00D3328A" w:rsidRPr="00CB5664" w:rsidRDefault="00D3328A" w:rsidP="00264A1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EFC" w14:textId="20702955" w:rsidR="00D3328A" w:rsidRPr="00CB5664" w:rsidRDefault="00C105A1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BABASI </w:t>
            </w:r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COO </w:t>
            </w:r>
            <w:proofErr w:type="spellStart"/>
            <w:r w:rsidRPr="00AC41F8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EE5" w14:textId="06F2DBD1" w:rsidR="00D3328A" w:rsidRPr="00CB5664" w:rsidRDefault="00862525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CB5664">
              <w:rPr>
                <w:rFonts w:ascii="Times New Roman" w:hAnsi="Times New Roman"/>
                <w:szCs w:val="22"/>
                <w:lang w:val="sq-AL"/>
              </w:rPr>
              <w:t>Refuzuar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AF8" w14:textId="0D1B28CF" w:rsidR="00984BFB" w:rsidRPr="00CB5664" w:rsidRDefault="00862525" w:rsidP="00D678C7">
            <w:pPr>
              <w:rPr>
                <w:rFonts w:ascii="Times New Roman" w:eastAsia="MS Mincho" w:hAnsi="Times New Roman"/>
                <w:szCs w:val="22"/>
                <w:lang w:val="sq-AL"/>
              </w:rPr>
            </w:pP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Sugjerimi nuk u pranua pasi etiketimi n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gjuh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n shqipe 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sht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i domosdosh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m n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rritje e garancive p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r sigurin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e produktit gjat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 xml:space="preserve"> magazinimit, transportit dhe p</w:t>
            </w:r>
            <w:r w:rsidR="000E4FCF" w:rsidRPr="00CB5664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CB5664">
              <w:rPr>
                <w:rFonts w:ascii="Times New Roman" w:eastAsia="MS Mincho" w:hAnsi="Times New Roman"/>
                <w:szCs w:val="22"/>
                <w:lang w:val="sq-AL"/>
              </w:rPr>
              <w:t>rdorimit.</w:t>
            </w:r>
          </w:p>
        </w:tc>
      </w:tr>
    </w:tbl>
    <w:p w14:paraId="17B2C5B5" w14:textId="77777777" w:rsidR="00C7773E" w:rsidRPr="003A19ED" w:rsidRDefault="00C7773E" w:rsidP="00C7773E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66A4DC9" w14:textId="77777777" w:rsidR="00C7773E" w:rsidRPr="003A19ED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3A19E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884295" w15:done="0"/>
  <w15:commentEx w15:paraId="50F421DD" w15:done="0"/>
  <w15:commentEx w15:paraId="2F1AE9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884295" w16cid:durableId="234B9515"/>
  <w16cid:commentId w16cid:paraId="50F421DD" w16cid:durableId="234B9551"/>
  <w16cid:commentId w16cid:paraId="2F1AE921" w16cid:durableId="234B95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0A831" w14:textId="77777777" w:rsidR="002B3651" w:rsidRDefault="002B3651" w:rsidP="002E4815">
      <w:r>
        <w:separator/>
      </w:r>
    </w:p>
  </w:endnote>
  <w:endnote w:type="continuationSeparator" w:id="0">
    <w:p w14:paraId="4F59419F" w14:textId="77777777" w:rsidR="002B3651" w:rsidRDefault="002B3651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EE27A" w14:textId="77777777" w:rsidR="002B3651" w:rsidRDefault="002B3651" w:rsidP="002E4815">
      <w:r>
        <w:separator/>
      </w:r>
    </w:p>
  </w:footnote>
  <w:footnote w:type="continuationSeparator" w:id="0">
    <w:p w14:paraId="670DBC8B" w14:textId="77777777" w:rsidR="002B3651" w:rsidRDefault="002B3651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D03CA"/>
    <w:multiLevelType w:val="hybridMultilevel"/>
    <w:tmpl w:val="A320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ela Shano">
    <w15:presenceInfo w15:providerId="Windows Live" w15:userId="76b413f273c2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35806"/>
    <w:rsid w:val="000E4FCF"/>
    <w:rsid w:val="0013617C"/>
    <w:rsid w:val="00147663"/>
    <w:rsid w:val="00155341"/>
    <w:rsid w:val="00165E4B"/>
    <w:rsid w:val="001A235D"/>
    <w:rsid w:val="001B6141"/>
    <w:rsid w:val="00210CF6"/>
    <w:rsid w:val="00216E92"/>
    <w:rsid w:val="00221040"/>
    <w:rsid w:val="00233DAA"/>
    <w:rsid w:val="00264A1A"/>
    <w:rsid w:val="00265AFC"/>
    <w:rsid w:val="00270375"/>
    <w:rsid w:val="002B3651"/>
    <w:rsid w:val="002D5D0C"/>
    <w:rsid w:val="002E4815"/>
    <w:rsid w:val="00315A5E"/>
    <w:rsid w:val="0031728D"/>
    <w:rsid w:val="003443FF"/>
    <w:rsid w:val="00365667"/>
    <w:rsid w:val="003A19ED"/>
    <w:rsid w:val="00426D3F"/>
    <w:rsid w:val="00495FA8"/>
    <w:rsid w:val="004F369C"/>
    <w:rsid w:val="00510F7A"/>
    <w:rsid w:val="005413D9"/>
    <w:rsid w:val="00553ADD"/>
    <w:rsid w:val="005A7C7D"/>
    <w:rsid w:val="005B160F"/>
    <w:rsid w:val="005B25B1"/>
    <w:rsid w:val="005F29B9"/>
    <w:rsid w:val="005F58AC"/>
    <w:rsid w:val="0066695F"/>
    <w:rsid w:val="00684EBE"/>
    <w:rsid w:val="006E645B"/>
    <w:rsid w:val="006F43B1"/>
    <w:rsid w:val="00702BF7"/>
    <w:rsid w:val="007630B7"/>
    <w:rsid w:val="00803AFB"/>
    <w:rsid w:val="00862525"/>
    <w:rsid w:val="008F30DC"/>
    <w:rsid w:val="008F7BD8"/>
    <w:rsid w:val="00984BFB"/>
    <w:rsid w:val="009867FF"/>
    <w:rsid w:val="00994A84"/>
    <w:rsid w:val="00994E6F"/>
    <w:rsid w:val="009B3F8B"/>
    <w:rsid w:val="00A22CEC"/>
    <w:rsid w:val="00A56BB2"/>
    <w:rsid w:val="00A70A48"/>
    <w:rsid w:val="00A75839"/>
    <w:rsid w:val="00A75AF4"/>
    <w:rsid w:val="00AD49F8"/>
    <w:rsid w:val="00AD70C4"/>
    <w:rsid w:val="00B26839"/>
    <w:rsid w:val="00B57711"/>
    <w:rsid w:val="00B70301"/>
    <w:rsid w:val="00B81668"/>
    <w:rsid w:val="00B8476D"/>
    <w:rsid w:val="00C105A1"/>
    <w:rsid w:val="00C244F3"/>
    <w:rsid w:val="00C45848"/>
    <w:rsid w:val="00C7773E"/>
    <w:rsid w:val="00C93487"/>
    <w:rsid w:val="00CA76FF"/>
    <w:rsid w:val="00CB5664"/>
    <w:rsid w:val="00CD0024"/>
    <w:rsid w:val="00D32616"/>
    <w:rsid w:val="00D3328A"/>
    <w:rsid w:val="00D37FAB"/>
    <w:rsid w:val="00D678C7"/>
    <w:rsid w:val="00D91B0E"/>
    <w:rsid w:val="00DE3933"/>
    <w:rsid w:val="00E20F11"/>
    <w:rsid w:val="00E84D44"/>
    <w:rsid w:val="00E96B2B"/>
    <w:rsid w:val="00ED0FA4"/>
    <w:rsid w:val="00EF0309"/>
    <w:rsid w:val="00F077CE"/>
    <w:rsid w:val="00F34E7A"/>
    <w:rsid w:val="00FA03E9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nsultim.publik@mod.gov.a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3995-4699-4AEF-A8F1-B972D65A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8</cp:revision>
  <cp:lastPrinted>2020-11-02T08:54:00Z</cp:lastPrinted>
  <dcterms:created xsi:type="dcterms:W3CDTF">2020-12-22T14:01:00Z</dcterms:created>
  <dcterms:modified xsi:type="dcterms:W3CDTF">2020-12-22T15:08:00Z</dcterms:modified>
</cp:coreProperties>
</file>